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95956" w14:textId="1573AEE2" w:rsidR="00F63360" w:rsidRPr="00F63360" w:rsidRDefault="00000000" w:rsidP="00F63360">
      <w:pPr>
        <w:spacing w:line="300" w:lineRule="auto"/>
        <w:rPr>
          <w:rFonts w:ascii="Segoe UI" w:eastAsia="Segoe UI" w:hAnsi="Segoe UI" w:cs="Segoe UI"/>
          <w:color w:val="323130"/>
          <w:sz w:val="24"/>
          <w:szCs w:val="24"/>
        </w:rPr>
      </w:pPr>
      <w:r>
        <w:rPr>
          <w:rFonts w:ascii="Segoe UI" w:eastAsia="Segoe UI" w:hAnsi="Segoe UI" w:cs="Segoe UI"/>
          <w:b/>
          <w:bCs/>
          <w:color w:val="605E5C"/>
          <w:sz w:val="24"/>
          <w:szCs w:val="24"/>
        </w:rPr>
        <w:t xml:space="preserve">Noor Al-Azary   </w:t>
      </w:r>
      <w:r>
        <w:rPr>
          <w:rFonts w:ascii="Segoe UI" w:eastAsia="Segoe UI" w:hAnsi="Segoe UI" w:cs="Segoe UI"/>
          <w:color w:val="A19F9D"/>
          <w:sz w:val="24"/>
          <w:szCs w:val="24"/>
        </w:rPr>
        <w:t>0:09</w:t>
      </w:r>
    </w:p>
    <w:p w14:paraId="7C1524E3"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Bonjour, je m'appelle Noor Al-Azary et je vous remercie de vous asseoir avec moi aujourd'hui pour examiner un projet en cours de recherche au sein du CCRT, le Conseil canadien de la réadaptation et du travail, concernant la transition de l'école au travail pour les étudiants handicapés de niveau postsecondaire.</w:t>
      </w:r>
    </w:p>
    <w:p w14:paraId="523500FD"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Je tiens tout d'abord à souligner que ce projet est financé et rendu possible par Normes d'accessibilité Canada.</w:t>
      </w:r>
    </w:p>
    <w:p w14:paraId="5673D2BC"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Je vais passer en revue l'historique des recherches antérieures.</w:t>
      </w:r>
    </w:p>
    <w:p w14:paraId="3468548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 lacune que nous cherchons à combler, l'objectif de notre étude, nos méthodes et, ce qui est le plus intéressant, certains résultats préliminaires de la première série de participants que nous avons pu recueillir jusqu'à présent.</w:t>
      </w:r>
    </w:p>
    <w:p w14:paraId="2180B8C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L'une des expériences de vie les plus marquantes pour les personnes handicapées et, sans doute, pour toute personne ayant fait des études, est le passage de l'enseignement secondaire à la carrière et à la vie professionnelle.</w:t>
      </w:r>
    </w:p>
    <w:p w14:paraId="623CB6E7"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De nombreux travaux ont été consacrés à la recherche sur le passage de l'école secondaire au monde du travail, mais beaucoup moins, comparativement, sur le passage de l'école post-secondaire au monde du travail.</w:t>
      </w:r>
    </w:p>
    <w:p w14:paraId="4E41A03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On sait très peu de choses sur les expériences des étudiants handicapés lorsqu'ils achèvent les dernières étapes de leurs études supérieures et qu'ils commencent à s'attendre, à planifier et à mettre en œuvre leur carrière et leur travail dans l'emploi.</w:t>
      </w:r>
    </w:p>
    <w:p w14:paraId="46AD730B"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Jusqu'à présent, nous savons, grâce à des recherches antérieures, que des lacunes persistent à la fois pendant les études et après l'obtention d'un diplôme pour les personnes handicapées.</w:t>
      </w:r>
    </w:p>
    <w:p w14:paraId="072344E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Il existe un écart manifeste de réussite scolaire entre les étudiants handicapés et leurs pairs.</w:t>
      </w:r>
    </w:p>
    <w:p w14:paraId="6F1694C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personnes handicapées continuent d'être sous-représentées dans la main-d'œuvre canadienne, avec un taux de 59 %, contre 80 % pour les personnes non handicapées.</w:t>
      </w:r>
    </w:p>
    <w:p w14:paraId="505667BD"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Et ceci est de Morris et al.</w:t>
      </w:r>
    </w:p>
    <w:p w14:paraId="1DD6A89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 2018, l'enseignement secondaire devrait être une voie vers l'avancement professionnel et l'optimisation des talents, et les étudiants handicapés sont confrontés à des obstacles et des facilitateurs uniques dans leur expérience éducative.</w:t>
      </w:r>
    </w:p>
    <w:p w14:paraId="4F0E3DA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voulons donc en savoir plus sur les étudiants handicapés.</w:t>
      </w:r>
    </w:p>
    <w:p w14:paraId="70614F71"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lastRenderedPageBreak/>
        <w:t>Nous voulons savoir où ils se situent en termes de statut démographique et socio-économique au cours de leurs études, et nous voulons aussi connaître leurs attentes en matière de travail, savoir si leurs études correspondent à leurs objectifs de carrière.</w:t>
      </w:r>
    </w:p>
    <w:p w14:paraId="60319F5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voulons également savoir quelles sont leurs attentes en matière d'emploi, si leurs études correspondent à leurs objectifs de carrière et si leurs objectifs salariaux sont atteints, ce qui nous permettra de déterminer s'ils y parviennent ou non, et donc s'ils ont des opportunités de travail intéressantes et s'ils peuvent utiliser leurs compétences.</w:t>
      </w:r>
    </w:p>
    <w:p w14:paraId="6ABA4E5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Pour ce faire, nous avons formulé quatre grandes questions de recherche pour guider notre étude.</w:t>
      </w:r>
    </w:p>
    <w:p w14:paraId="085BCD2D"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 première question à laquelle nous voulons répondre est la suivante : combien de temps s'écoule-t-il entre le moment où les étudiants handicapés obtiennent leur diplôme et celui où ils trouvent un emploi ?</w:t>
      </w:r>
    </w:p>
    <w:p w14:paraId="44DAF6F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 outre, nous voulons comparer la durée réelle de la recherche d'emploi avec la durée prévue de la recherche d'emploi que les étudiants estiment avant d'obtenir leur diplôme.</w:t>
      </w:r>
    </w:p>
    <w:p w14:paraId="1F411D60"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 deuxième question est la suivante : les attentes des étudiants en matière de carrière correspondent-elles à leurs expériences ?</w:t>
      </w:r>
    </w:p>
    <w:p w14:paraId="2010B5D5"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 d'autres termes, les attentes des étudiants au cours de leur dernière année d'études correspondent-elles à la réalité une fois qu'ils ont obtenu leur diplôme et commencé leur carrière ?</w:t>
      </w:r>
    </w:p>
    <w:p w14:paraId="3C1C6A9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 troisième question que nous nous posons est la suivante : les étudiants trouvent-ils des opportunités de travail de haute qualité qui correspondent à leurs compétences et à leurs domaines d'expertise ?</w:t>
      </w:r>
    </w:p>
    <w:p w14:paraId="293133BD"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Enfin, notre quatrième question est la suivante : comment les établissements d'enseignement supérieur peuvent-ils mieux préparer les étudiants handicapés au monde du travail à l'avenir ?</w:t>
      </w:r>
    </w:p>
    <w:p w14:paraId="5F9AA530"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Cette question est essentielle pour éclairer les pratiques et les politiques des établissements d'enseignement supérieur.</w:t>
      </w:r>
    </w:p>
    <w:p w14:paraId="4ABFFFD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L'enseignement postsecondaire est censé être une voie d'accès à l'avancement et à des emplois bien rémunérés.</w:t>
      </w:r>
    </w:p>
    <w:p w14:paraId="42C7FB4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Pourtant, les diplômés handicapés ne tirent pas les mêmes avantages de leur formation que leurs camarades.</w:t>
      </w:r>
    </w:p>
    <w:p w14:paraId="0CFEE660"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Excusez-moi ?</w:t>
      </w:r>
    </w:p>
    <w:p w14:paraId="29D8AAB9"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lastRenderedPageBreak/>
        <w:t>Ces quatre questions ont donc été élaborées pour reconnaître que la recherche d'un emploi n'est pas le seul objectif.</w:t>
      </w:r>
    </w:p>
    <w:p w14:paraId="781A375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savons, grâce à d'autres recherches, que les possibilités d'avancement professionnel pour les personnes handicapées sont limitées en termes de qualité et d'accessibilité.</w:t>
      </w:r>
    </w:p>
    <w:p w14:paraId="20CB323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Pour ce faire, nous avons commencé par une enquête de référence visant à recruter 1000 étudiants au début de leur dernière année d'études dans un programme d'enseignement post-secondaire.</w:t>
      </w:r>
    </w:p>
    <w:p w14:paraId="2E5362B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recueillons des informations sur leurs caractéristiques démographiques générales, leurs antécédents, leur type de handicap, leur statut socio-économique, leurs perceptions, leurs domaines d'études, leurs attentes salariales, la durée pendant laquelle ils prévoient de chercher un emploi jusqu'à ce qu'ils en obtiennent un après avoir obtenu leur diplôme, et s'ils espèrent trouver un emploi dans leur domaine d'études.</w:t>
      </w:r>
    </w:p>
    <w:p w14:paraId="4FFFF448"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disposons de données préliminaires sur environ 72 participants, dont les résultats seront communiqués ultérieurement. Après environ huit mois, nous contacterons un échantillon plus restreint de participants pour organiser des groupes de discussion qui recueilleront les réflexions des étudiants sur la manière dont leur université ou collège les a préparés à leur transition vers le travail, ainsi que sur leurs obstacles et besoins uniques en tant que membres de groupes intersectionnels diversifiés.</w:t>
      </w:r>
    </w:p>
    <w:p w14:paraId="294B3F28"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Enfin, un an après l'enquête de référence, nous mènerons une enquête de suivi afin de comparer les attentes recueillies lors de l'enquête de référence avec les rapports des participants.</w:t>
      </w:r>
    </w:p>
    <w:p w14:paraId="46C2A29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serons en mesure de comparer directement le temps que les diplômés ont passé à chercher un emploi, s'ils ont obtenu un emploi dans leur domaine de prédilection et si leur salaire de départ correspond à leurs objectifs antérieurs.</w:t>
      </w:r>
    </w:p>
    <w:p w14:paraId="33E387FE"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Jusqu'à présent, après avoir nettoyé les données, notamment en vérifiant l'attention et en supprimant les réponses frauduleuses, nous disposons de quelques résultats préliminaires.</w:t>
      </w:r>
    </w:p>
    <w:p w14:paraId="3AE4E3A8"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avons accumulé environ 72 réponses, dont la plupart proviennent d'étudiants nationaux inscrits à un programme de premier cycle de quatre ans.</w:t>
      </w:r>
    </w:p>
    <w:p w14:paraId="79FE695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 xml:space="preserve">L'âge de nos répondants est de 24 ans, avec une fourchette d'âge comprise entre 22 et 46 ans, et plus de la moitié d'entre eux vivent dans des zones suburbaines. Nous avons ici une carte des domaines d'études les plus fréquemment cités jusqu'à </w:t>
      </w:r>
      <w:r w:rsidRPr="00F63360">
        <w:rPr>
          <w:rFonts w:ascii="Segoe UI" w:eastAsia="Segoe UI" w:hAnsi="Segoe UI" w:cs="Segoe UI"/>
          <w:color w:val="323130"/>
          <w:sz w:val="24"/>
          <w:szCs w:val="24"/>
        </w:rPr>
        <w:lastRenderedPageBreak/>
        <w:t>présent, et vous pouvez voir que nous avons un groupe assez diversifié de chercheurs en psychologie, en soins infirmiers, en biologie, en histoire, en sciences de l'environnement, en sociologie, en ingénierie, et la liste est encore longue.</w:t>
      </w:r>
    </w:p>
    <w:p w14:paraId="301C091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Ensuite, nous avons posé des questions sur les caractéristiques de leur handicap.</w:t>
      </w:r>
    </w:p>
    <w:p w14:paraId="3E96ADEC"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 tableau ci-dessous présente les types de handicaps les plus fréquents, du plus important au moins important. La santé mentale ou les dépendances ont été mentionnées 41 fois.</w:t>
      </w:r>
    </w:p>
    <w:p w14:paraId="359B116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L'apprentissage a été mentionné 29 fois.</w:t>
      </w:r>
    </w:p>
    <w:p w14:paraId="18F747A8"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troubles médicaux ont été signalés 22 fois.</w:t>
      </w:r>
    </w:p>
    <w:p w14:paraId="6184A41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troubles du développement ont été signalés 12 fois.</w:t>
      </w:r>
    </w:p>
    <w:p w14:paraId="3897D8B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 mobilité ou l'agilité ont été signalées 11 fois.</w:t>
      </w:r>
    </w:p>
    <w:p w14:paraId="34613CC5"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troubles sensoriels ont également été signalés 11 fois.</w:t>
      </w:r>
    </w:p>
    <w:p w14:paraId="1165211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La dextérité motrice et la déficience intellectuelle ont été signalées 7 fois chacune, et la communication et les autres déficiences ont été signalées 4 fois chacune.</w:t>
      </w:r>
    </w:p>
    <w:p w14:paraId="6FB2584C"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incapacités liées à la santé mentale sont, sans surprise, le type d'incapacité le plus souvent signalé par nos participants, ce qui reflète à la fois l'augmentation des incapacités liées à la santé mentale constatée dans les résultats de la dernière Enquête canadienne sur l'incapacité, ainsi que les recherches suggérant qu'au moins un étudiant canadien de niveau postsecondaire sur cinq souffre d'un trouble de santé mentale, un chiffre qui, en raison des effets de désirabilité sociale et de la stigmatisation, peut être sous-déclaré.</w:t>
      </w:r>
    </w:p>
    <w:p w14:paraId="27F2549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avons posé des questions sur les périodes de handicap vécues. Le graphique circulaire montre les types de handicap les plus répandus, avec 67 ou 78 % de personnes déclarant un handicap chronique, 16 ou 19 % un handicap épisodique ou fluctuant et 3 ou 3 % un handicap temporaire.</w:t>
      </w:r>
    </w:p>
    <w:p w14:paraId="16A518BA"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leur avons ensuite demandé si leur handicap était visible ou si les autres pouvaient facilement discerner leur statut de handicapé à partir de leur comportement ou de leur apparence.</w:t>
      </w:r>
    </w:p>
    <w:p w14:paraId="56B25D8D"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 graphique circulaire montre les types de handicap les plus répandus : 48 ou 68% ont déclaré un handicap non visible, 19 ou 27% ont déclaré que cela dépendait, 3 ou 4% ont déclaré un handicap visible et 1 ou 1% ont déclaré qu'ils n'étaient pas sûrs de cela.</w:t>
      </w:r>
    </w:p>
    <w:p w14:paraId="13BBDD17"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 xml:space="preserve">Pour évaluer la perception du statut socio-économique des participants, nous avons utilisé l'échelle de MacArthur du statut social subjectif et nous avons demandé aux étudiants s'ils se plaçaient sur une échelle socio-économique par rapport aux </w:t>
      </w:r>
      <w:r w:rsidRPr="00F63360">
        <w:rPr>
          <w:rFonts w:ascii="Segoe UI" w:eastAsia="Segoe UI" w:hAnsi="Segoe UI" w:cs="Segoe UI"/>
          <w:color w:val="323130"/>
          <w:sz w:val="24"/>
          <w:szCs w:val="24"/>
        </w:rPr>
        <w:lastRenderedPageBreak/>
        <w:t>Canadiens, 1 étant la classe de statut socio-économique la plus élevée et 10 la plus basse.</w:t>
      </w:r>
    </w:p>
    <w:p w14:paraId="291D804B"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avons ici un graphique du statut socio-économique perçu au Canada. 0 répondant a choisi 1. 2 répondants ont choisi 2.</w:t>
      </w:r>
    </w:p>
    <w:p w14:paraId="6BCF74EA"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 xml:space="preserve">9 répondants ont choisi 3. 14 répondants ont choisi 4. </w:t>
      </w:r>
    </w:p>
    <w:p w14:paraId="10C533A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20 répondants ont choisi 5. 8 répondants ont choisi 6.</w:t>
      </w:r>
    </w:p>
    <w:p w14:paraId="785ACD27"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11 personnes interrogées ont choisi 7. 4 répondants ont choisi 8.</w:t>
      </w:r>
    </w:p>
    <w:p w14:paraId="4E7D424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3 répondants ont choisi 9 et 0 répondant a choisi 10.</w:t>
      </w:r>
    </w:p>
    <w:p w14:paraId="3665B55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Cela suggère que la plupart de nos répondants se considèrent comme faisant partie de la classe moyenne.</w:t>
      </w:r>
    </w:p>
    <w:p w14:paraId="76EA2F2E"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Là encore, nous utilisons l'échelle de MacArthur pour notre mesure.</w:t>
      </w:r>
    </w:p>
    <w:p w14:paraId="1120E57C"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avons toutefois modifié cette question pour demander aux étudiants où ils se situaient sur cette même échelle, mais cette fois au sein de leur établissement d'enseignement supérieur ou de leur université. Nous avons ici un tableau du statut socio-économique perçu au sein de l'établissement d'enseignement supérieur ou de l'université.</w:t>
      </w:r>
    </w:p>
    <w:p w14:paraId="36107D9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0 répondant a choisi 1. 10 répondants ont choisi 3. 16 répondants ont choisi 4. 14 répondants ont choisi 5. 9 répondants ont choisi 6. 13 répondants ont choisi 7. 5 répondants ont choisi 8. 0 personne a choisi 9 et 2 personnes ont choisi 10. Les réponses sont similaires, avec une légère tendance à la baisse, à la hausse ou à la baisse du statut socioéconomique, mais la plupart des répondants se considèrent comme faisant partie de la classe moyenne par rapport à leurs pairs. Après avoir obtenu leur diplôme, nous avons demandé aux étudiants combien de temps ils prévoyaient de passer à la recherche d'un emploi avant d'en obtenir un.</w:t>
      </w:r>
    </w:p>
    <w:p w14:paraId="31AE145E"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présentons ici un graphique montrant la durée prévue de la recherche d'emploi.</w:t>
      </w:r>
    </w:p>
    <w:p w14:paraId="7E503B2D"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16 répondants ont choisi six mois ou plus.</w:t>
      </w:r>
    </w:p>
    <w:p w14:paraId="66FB362A"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14 répondants ont choisi trois à moins de six mois.</w:t>
      </w:r>
    </w:p>
    <w:p w14:paraId="4E59DD2C"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18 répondants ont choisi deux à moins de trois mois.</w:t>
      </w:r>
    </w:p>
    <w:p w14:paraId="6886BAB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18 répondants ont choisi un à moins de deux mois et cinq répondants ont choisi un délai d'attente de moins d'un mois.</w:t>
      </w:r>
    </w:p>
    <w:p w14:paraId="13B72275"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allons comparer ces délais prévus avec les délais réels de recherche d'emploi des étudiants lors de l'enquête de suivi pour voir si ces attentes ont été satisfaites et mesurer les écarts éventuels.</w:t>
      </w:r>
    </w:p>
    <w:p w14:paraId="73B199A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lastRenderedPageBreak/>
        <w:t>Nous avons donc demandé aux étudiants s'ils espéraient trouver un emploi dans leur domaine.</w:t>
      </w:r>
    </w:p>
    <w:p w14:paraId="7F60698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Ce diagramme circulaire montre que 64, soit 90 % des répondants, ont répondu par l'affirmative et sept, soit 10 %, par la négative.</w:t>
      </w:r>
    </w:p>
    <w:p w14:paraId="30BCE2AB"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comparerons également ces rapports de base aux réponses de l'enquête de suivi pour savoir s'ils ont trouvé un emploi pertinent.</w:t>
      </w:r>
    </w:p>
    <w:p w14:paraId="59507B6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Il convient également de noter que, selon les conclusions de Statistique Canada, en 2024, cinq diplômés sur cinq, soit 81 %, qui occupaient un emploi trois ans après l'obtention de leur diplôme, ont déclaré que leur emploi ou leur entreprise était étroitement ou quelque peu lié au programme qu'ils avaient suivi en 2015.</w:t>
      </w:r>
    </w:p>
    <w:p w14:paraId="7F9A4074"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Ce chiffre est similaire à celui des diplômés de 2010 (83 %).</w:t>
      </w:r>
    </w:p>
    <w:p w14:paraId="5BA7AAE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réponses initiales de nos participants sont donc en phase avec ces résultats et il sera intéressant de voir comment les expériences réelles de nos échantillons, qui reflètent les nouveaux diplômés handicapés, se comparent aux données des statistiques sur la population générale.</w:t>
      </w:r>
    </w:p>
    <w:p w14:paraId="4A538CF9"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Enfin, nous avons demandé aux étudiants quel était leur salaire prévu avant impôt, en dollars, pour leur premier emploi après l'obtention de leur diplôme, ce qui est illustré ici par un graphique à barres.</w:t>
      </w:r>
    </w:p>
    <w:p w14:paraId="02540361"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Une personne a déclaré 100 000 dollars ou plus.</w:t>
      </w:r>
    </w:p>
    <w:p w14:paraId="6C124853"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Trois personnes ont déclaré un salaire compris entre 80 et un peu moins de 90 000 dollars.</w:t>
      </w:r>
    </w:p>
    <w:p w14:paraId="146D78D1"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12 personnes ont déclaré un salaire compris entre 70 et 80 000 dollars.</w:t>
      </w:r>
    </w:p>
    <w:p w14:paraId="46C09A41"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18 personnes ont déclaré une rémunération comprise entre 60 et 70 000 dollars.</w:t>
      </w:r>
    </w:p>
    <w:p w14:paraId="65EA8F85"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12 personnes ont déclaré 50 à un peu moins de 60 000 $.</w:t>
      </w:r>
    </w:p>
    <w:p w14:paraId="7290CE56"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11 personnes ont déclaré 40 à un peu moins de 50 000 $.</w:t>
      </w:r>
    </w:p>
    <w:p w14:paraId="38489E19"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Neuf personnes ont déclaré 30 à un peu moins de 40 000 dollars et quatre personnes ont déclaré 30 000 dollars ou moins. À titre de comparaison, selon une étude du Conseil des universités de l'Ontario, le salaire moyen des nouveaux diplômés deux ans après l'obtention de leur diplôme est d'environ 50 000 dollars.</w:t>
      </w:r>
    </w:p>
    <w:p w14:paraId="54E5EB70"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sommes intéressés par la comparaison entre les salaires obtenus au moment du suivi et les données nationales.</w:t>
      </w:r>
    </w:p>
    <w:p w14:paraId="13861709"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espérons donc que, grâce à ce projet, nous serons en mesure d'apporter des conclusions plus détaillées sur un segment diversifié de la population canadienne qui n'existe pas actuellement dans les domaines de recherche sur l'insertion professionnelle des étudiants.</w:t>
      </w:r>
    </w:p>
    <w:p w14:paraId="1A2E649A"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lastRenderedPageBreak/>
        <w:t>Par exemple, tout au long de notre travail au CCRT, en identifiant les tendances du marché du travail, nous avons noté que les premières expériences de travail sont un domaine important pour soutenir les jeunes handicapés, et que l'amélioration de l'accessibilité des soutiens à la préparation de carrière dans le contexte postsecondaire pourrait être une façon de créer ces opportunités.</w:t>
      </w:r>
    </w:p>
    <w:p w14:paraId="00D6217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D'autres personnes travaillant dans ces domaines nous ont dit que ces possibilités de développement de carrière peuvent être moins accessibles que les salles de classe.</w:t>
      </w:r>
    </w:p>
    <w:p w14:paraId="31CFA56F"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Nous espérons en savoir plus à ce sujet dans le cadre de notre recherche, en particulier grâce à la collecte de données qualitatives.</w:t>
      </w:r>
    </w:p>
    <w:p w14:paraId="060A51D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Troisièmement, nous prévoyons que nos conclusions éclaireront la politique et la pratique au niveau institutionnel et gouvernemental, à une échelle plus large et plus ciblée à l'avenir.</w:t>
      </w:r>
    </w:p>
    <w:p w14:paraId="54F190A2"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Les résultats de ce projet peuvent être mieux adaptés aux besoins des étudiants, ou ils peuvent servir de fondement à de nouvelles initiatives dans l'environnement postsecondaire, ainsi qu'à de futurs programmes et soutiens gouvernementaux.</w:t>
      </w:r>
    </w:p>
    <w:p w14:paraId="524686E8" w14:textId="77777777" w:rsidR="00F63360" w:rsidRPr="00F63360" w:rsidRDefault="00F63360" w:rsidP="00F63360">
      <w:pPr>
        <w:spacing w:line="300" w:lineRule="auto"/>
        <w:rPr>
          <w:rFonts w:ascii="Segoe UI" w:eastAsia="Segoe UI" w:hAnsi="Segoe UI" w:cs="Segoe UI"/>
          <w:color w:val="323130"/>
          <w:sz w:val="24"/>
          <w:szCs w:val="24"/>
        </w:rPr>
      </w:pPr>
      <w:r w:rsidRPr="00F63360">
        <w:rPr>
          <w:rFonts w:ascii="Segoe UI" w:eastAsia="Segoe UI" w:hAnsi="Segoe UI" w:cs="Segoe UI"/>
          <w:color w:val="323130"/>
          <w:sz w:val="24"/>
          <w:szCs w:val="24"/>
        </w:rPr>
        <w:t>Merci beaucoup de m'avoir écouté.</w:t>
      </w:r>
    </w:p>
    <w:p w14:paraId="5BD4B8BE" w14:textId="77777777" w:rsidR="000E7A57" w:rsidRDefault="00000000">
      <w:pPr>
        <w:spacing w:line="300" w:lineRule="auto"/>
      </w:pPr>
      <w:r>
        <w:rPr>
          <w:noProof/>
        </w:rPr>
        <w:drawing>
          <wp:anchor distT="0" distB="0" distL="0" distR="0" simplePos="0" relativeHeight="209550" behindDoc="0" locked="0" layoutInCell="1" allowOverlap="1" wp14:anchorId="4A42BA68" wp14:editId="7CF5FACC">
            <wp:simplePos x="0" y="0"/>
            <wp:positionH relativeFrom="page">
              <wp:posOffset>621792</wp:posOffset>
            </wp:positionH>
            <wp:positionV relativeFrom="paragraph">
              <wp:posOffset>274320</wp:posOffset>
            </wp:positionV>
            <wp:extent cx="209550" cy="2095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Noor Al-Azary </w:t>
      </w:r>
      <w:r>
        <w:rPr>
          <w:rFonts w:ascii="Segoe UI" w:eastAsia="Segoe UI" w:hAnsi="Segoe UI" w:cs="Segoe UI"/>
          <w:color w:val="A19F9D"/>
          <w:sz w:val="24"/>
          <w:szCs w:val="24"/>
        </w:rPr>
        <w:t>stopped transcription</w:t>
      </w:r>
    </w:p>
    <w:sectPr w:rsidR="000E7A5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383E1E"/>
    <w:multiLevelType w:val="hybridMultilevel"/>
    <w:tmpl w:val="6B82DFB2"/>
    <w:lvl w:ilvl="0" w:tplc="2E62B600">
      <w:start w:val="1"/>
      <w:numFmt w:val="bullet"/>
      <w:lvlText w:val="●"/>
      <w:lvlJc w:val="left"/>
      <w:pPr>
        <w:ind w:left="720" w:hanging="360"/>
      </w:pPr>
    </w:lvl>
    <w:lvl w:ilvl="1" w:tplc="B582D006">
      <w:start w:val="1"/>
      <w:numFmt w:val="bullet"/>
      <w:lvlText w:val="○"/>
      <w:lvlJc w:val="left"/>
      <w:pPr>
        <w:ind w:left="1440" w:hanging="360"/>
      </w:pPr>
    </w:lvl>
    <w:lvl w:ilvl="2" w:tplc="F2E4B74A">
      <w:start w:val="1"/>
      <w:numFmt w:val="bullet"/>
      <w:lvlText w:val="■"/>
      <w:lvlJc w:val="left"/>
      <w:pPr>
        <w:ind w:left="2160" w:hanging="360"/>
      </w:pPr>
    </w:lvl>
    <w:lvl w:ilvl="3" w:tplc="3B685E4C">
      <w:start w:val="1"/>
      <w:numFmt w:val="bullet"/>
      <w:lvlText w:val="●"/>
      <w:lvlJc w:val="left"/>
      <w:pPr>
        <w:ind w:left="2880" w:hanging="360"/>
      </w:pPr>
    </w:lvl>
    <w:lvl w:ilvl="4" w:tplc="E31ADFA2">
      <w:start w:val="1"/>
      <w:numFmt w:val="bullet"/>
      <w:lvlText w:val="○"/>
      <w:lvlJc w:val="left"/>
      <w:pPr>
        <w:ind w:left="3600" w:hanging="360"/>
      </w:pPr>
    </w:lvl>
    <w:lvl w:ilvl="5" w:tplc="E90ADF4C">
      <w:start w:val="1"/>
      <w:numFmt w:val="bullet"/>
      <w:lvlText w:val="■"/>
      <w:lvlJc w:val="left"/>
      <w:pPr>
        <w:ind w:left="4320" w:hanging="360"/>
      </w:pPr>
    </w:lvl>
    <w:lvl w:ilvl="6" w:tplc="FDFC417E">
      <w:start w:val="1"/>
      <w:numFmt w:val="bullet"/>
      <w:lvlText w:val="●"/>
      <w:lvlJc w:val="left"/>
      <w:pPr>
        <w:ind w:left="5040" w:hanging="360"/>
      </w:pPr>
    </w:lvl>
    <w:lvl w:ilvl="7" w:tplc="0A2C9EF8">
      <w:start w:val="1"/>
      <w:numFmt w:val="bullet"/>
      <w:lvlText w:val="●"/>
      <w:lvlJc w:val="left"/>
      <w:pPr>
        <w:ind w:left="5760" w:hanging="360"/>
      </w:pPr>
    </w:lvl>
    <w:lvl w:ilvl="8" w:tplc="1DC0B09A">
      <w:start w:val="1"/>
      <w:numFmt w:val="bullet"/>
      <w:lvlText w:val="●"/>
      <w:lvlJc w:val="left"/>
      <w:pPr>
        <w:ind w:left="6480" w:hanging="360"/>
      </w:pPr>
    </w:lvl>
  </w:abstractNum>
  <w:num w:numId="1" w16cid:durableId="7838123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A57"/>
    <w:rsid w:val="000E761F"/>
    <w:rsid w:val="000E7A57"/>
    <w:rsid w:val="000F2140"/>
    <w:rsid w:val="0010735F"/>
    <w:rsid w:val="002044A9"/>
    <w:rsid w:val="00315447"/>
    <w:rsid w:val="004779EC"/>
    <w:rsid w:val="004813EC"/>
    <w:rsid w:val="00692285"/>
    <w:rsid w:val="00987DFC"/>
    <w:rsid w:val="00F63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ED921"/>
  <w15:docId w15:val="{2CD49446-C495-471B-B845-09C4C73AB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A45DC15C-5578-4CB3-A7D2-EF178B7870BB}"/>
</file>

<file path=customXml/itemProps2.xml><?xml version="1.0" encoding="utf-8"?>
<ds:datastoreItem xmlns:ds="http://schemas.openxmlformats.org/officeDocument/2006/customXml" ds:itemID="{C26FDB5D-E3A5-4E6B-91E1-6E12D0647698}"/>
</file>

<file path=customXml/itemProps3.xml><?xml version="1.0" encoding="utf-8"?>
<ds:datastoreItem xmlns:ds="http://schemas.openxmlformats.org/officeDocument/2006/customXml" ds:itemID="{46CFB0A9-B803-4122-9B48-3ABDBCD19CD2}"/>
</file>

<file path=docProps/app.xml><?xml version="1.0" encoding="utf-8"?>
<Properties xmlns="http://schemas.openxmlformats.org/officeDocument/2006/extended-properties" xmlns:vt="http://schemas.openxmlformats.org/officeDocument/2006/docPropsVTypes">
  <Template>Normal.dotm</Template>
  <TotalTime>1</TotalTime>
  <Pages>7</Pages>
  <Words>2223</Words>
  <Characters>12674</Characters>
  <Application>Microsoft Office Word</Application>
  <DocSecurity>0</DocSecurity>
  <Lines>105</Lines>
  <Paragraphs>29</Paragraphs>
  <ScaleCrop>false</ScaleCrop>
  <Company/>
  <LinksUpToDate>false</LinksUpToDate>
  <CharactersWithSpaces>14868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Cheryl Li</cp:lastModifiedBy>
  <cp:revision>4</cp:revision>
  <dcterms:created xsi:type="dcterms:W3CDTF">2024-04-26T00:23:00Z</dcterms:created>
  <dcterms:modified xsi:type="dcterms:W3CDTF">2024-04-26T00:24:00Z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