
<file path=[Content_Types].xml><?xml version="1.0" encoding="utf-8"?>
<Types xmlns="http://schemas.openxmlformats.org/package/2006/content-types">
  <Default Extension="rels" ContentType="application/vnd.openxmlformats-package.relationships+xml"/>
  <Default Extension="ttf" ContentType="application/x-font-ttf"/>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Hello, today we are going to discuss the accessibility challenges in virtual meeting platforms. An accessible virtual meeting platform has some key features that allow people to smoothly engage on the digital platform. This inclusiveness is consistent with the concepts of diversity, equity, and inclusion, generating a sense of belonging for all participants.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With our project, we conducted a total of 63 tests and interviews from 12 January 2023 to 23 March 2023. These interviews aimed to delve into participants' past experiences, particularly regarding using Information Communication Technology (ICT) platforms by exploring the participants preferred platforms, ease of use, preferences for assistive technologies, challenges with updates or changes, and desired features for virtual meeting platforms and assistive technologies.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First of all, the first property of an accessible virtual meeting platform is to have a compatible design that will work seamlessly with various assistive technologies such as JAWS and NVDA. Secondly, a customizable User Interface (UI) that will accommodate a range of visual preferences that allow users to adjust font sizes, colors, and contrast settings. Thirdly, inclusive communication tools to make sure all shared content is perceivable and no information is exclusively conveyed visually. The virtual meeting platform could have user-driven feedback loops that are in line with user needs from time to time with mechanisms for users to report issues and suggest enhancements. Moreover, the platform includes tutorials and resources designed to empower users, particularly those with visual impairments, to navigate and utilize the full suite of features confidently. It is crucial that the platform adhere to the latest World Wide Web Consortium (W3C) Web Content Accessibility Guidelines (WCAG) guidelines to meet the global standards for accessibility. The platform should have multimodal interaction such as touch, hear and feel, to diverse user capabilities and preferences to cater a diverse user capabilities and preferences. In addition, an Artificial Intelligence (AI)-powered assistance could help to guide the users in navigating with content more intuitively. A transparent privacy and security with trustable data policies, such as the Personal Information Protection and Electronic Documents Act (PIPEDA). This paradigm underscores the principle that accessibility should be integral to the design process rather than an afterthought.</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At the User Interface level, the complex User Interface (UI) with intricate layouts and multiple options creates a non-standard navigation pattern or scripts hinder efficiency participation and engagement in virtual meetings. The incompatibility of screen reader software that is poorly integrated with virtual meeting platforms hampers navigation and interaction. The failure to adhere to industry guidelines and standards leads to incomplete or inaccurate information and difficult navigation in comprehending and interacting with digital content. Furthermore, the inaccessibility of visual content that lacks alternative text descriptions or audio cues excludes users from learning crucial information. Limited keyboard navigation and inadequate accessibility settings hinder efficient navigation and customization according to the user’s preferences and accessibility requirements. Mobile platforms introduce challenges like inconsistent design, poor color contrast, and unresponsive touch areas impacting user experience.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At the software application layer, real-time collaboration and meetings due to inaccessible controls or incompatibility issues with assistive technologies prevent users from fully engaging in collaborative activities. Technological interventions such as smartwatches and fitness trackers require user requirements consideration to ensure their effectiveness and user satisfaction. Besides, at the domain model level, privacy and security concerns arise in physical and digital environments. The non-adherence to markup language and metadata poses obstacles for users relying on screen reader software.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Next, we outlined the pivotal recommendations for various stakeholders to enhance virtual meeting platform accessibility. The key focus is addressing the diverse needs of users to ensure equitable digital engagement. For the ICT developers, we would like to recommend to develop a compatible features on the virtual meeting platform, such as Accessible Interface Elements, Audio Cues and Notifications, Keyboard Navigation, Transcriptions and Captions that can be accessed and operated using a keyboard alone, without requiring a mouse or touch input. There should be enhanced customization options to cater to diverse needs that allow users to modify interface components for a personalized experience to accommodate different visual preferences. We would encourage developers to conduct rigorous compatibility testing with popular screen readers to ensure seamless integration with various assistive technologies. Providing comprehensive resources and training materials tailored for users to understand better and manage privacy and security settings is recommended as well. Developers must prioritize accessibility standards such as Web Content Accessibility Guidelines (WCAG), to create a more inclusive online environment. A quality assurance test from the host’s perspective to solicit feedback from the visually impaired community by co-designing the platform with users. Developers should enhance audio adjustments that include options to adjust the volume settings of screen readers to avoid voice duplication.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Furthermore, developers are encouraged to create sophisticated algorithms to recognize faces accurately, even when wearing masks and Integrating user-screen distance calculation to assist users in positioning optimally for interaction in front of a camera. The platform should include a virtual humanized assistant to guide users through the application's navigation. Clear guidance or alternative methods for touchscreen interaction such as voice commands and gesture-based controls, and exploring innovative navigation solutions beyond screen readers should be provided within the platform. Developers should refine object recognition models to identify objects accurately in different backgrounds and lighting conditions to improve the model's robustness to variations in virtual meeting environments. Developers should design the platform to have features to record a transcript of the captions to facilitate information retrieval. The platform should have a setting to set the default screen resolution for screen sharing within meetings to promote consistency, reduce visual strain, and enhance collaboration for low-vision users. Repair suggestions should be included if it detects issues related to electronic or non-electronic documents.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Moreover, we would like to recommend The Canadian federal government could implement various strategies to incentivize developers such as tax breaks, grants, or awards to adhere to accessibility standards for virtual meeting platforms. Comprehensive accessibility guidelines and resources that outline best practices, technical specifications, and testing methods to help developers ensure their platforms are accessible to all users. The government should offer training programs on accessibility principles to help developers better understand the importance of accessibility and how to implement it effectively in their products. The government could facilitate collaboration among developers and disability advocacy groups and formulate government policies that integrate accessibility standards into procurement to foster a more inclusive digital environment for all users.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Government regulations can encourage developers to voluntarily align with recognized accessibility standards like W3C WCAG and ATAG and also launch public awareness campaigns to educate the public, including developers, about the importance of accessibility in virtual meeting platforms. Besides, the government can engage with the disability community and establish feedback mechanisms to collect user feedback and suggestions to ensure that developers fully understand the needs of different disability groups and include periodic reviews of developers' reports and test results to ensure their platforms consistently meet the standards.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Furthermore, our recommendation to the users is to select virtual meeting platforms prioritizing accessibility features, such as screen reader compatibility, keyboard navigation, and support for alternative text and captions. The users have to learn the keyboard shortcuts and commands specific to the screen reader to interact with the platform efficiently. Exploring the accessibility settings within the virtual meeting platform and adjusting them to suit individual preferences and needs are suggested as well. The users are encouraged to communicate with meeting organizers or platform administrators to request accommodations such as live captioning or audio descriptions during virtual meetings. It is useful for the user to practice navigation through different sections, accessing menus, and interacting with controls using screen reader commands. The users are recommended to participate actively in virtual meetings by listening attentively, asking questions, and contributing to discussions, and provide feedback to the platform developers or administrators if accessibility barriers or issues are encountered. The user should always stay informed about accessibility best practices and new developments in assistive technology and connect with other users or disability advocacy groups who may have insights or resources related to accessible virtual meetings. The users should also collaborate with organizations, policymakers, and technology companies to promote inclusive design practices and ensure equal access for all users and incorporate features that facilitate seamless interaction with friends, family, and community members to enrich professional and casual usage.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In addition, we would like to recommend the host to conduct testing of the platforms from the hosts' perspective to uncover additional accessibility concerns related to managing tasks like hosting meetings, interacting with participants, and selecting virtual meeting platforms prioritizing accessibility features. The hosts should adjust the accessibility settings within the virtual meeting platform to suit individual needs and inform participants about the virtual meeting platform's accessibility features. The hosts should offer accommodations such as live captioning, audio descriptions, or alternative formats for visual content during virtual meetings. We encourage the hosts to provide verbal descriptions of visual content and ensure all participants have equal opportunities to participate and engage actively with participants during virtual meetings by using inclusive language.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Besides, the hosts should monitor the accessibility of the platform regularly and enforce accessibility standards in virtual meeting platforms and collaborate with organizations, policymakers, and technology companies to promote inclusive design practices and ensure equal access for all users. The hosts should stay informed about accessibility best practices and new developments in assistive technology by participating in training sessions or workshops focused on accessibility to improve skills and knowledge and develop comprehensive resources and tutorials tailored for visually impaired users.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Thank you</w:t>
      </w:r>
    </w:p>
    <w:p w:rsidR="00000000" w:rsidDel="00000000" w:rsidP="00000000" w:rsidRDefault="00000000" w:rsidRPr="00000000" w14:paraId="0000001A">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C84B20"/>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C84B20"/>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C84B20"/>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C84B20"/>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C84B20"/>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C84B20"/>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C84B20"/>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C84B20"/>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C84B20"/>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C84B20"/>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C84B20"/>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C84B20"/>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C84B20"/>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C84B20"/>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C84B20"/>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C84B20"/>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C84B20"/>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C84B20"/>
    <w:rPr>
      <w:rFonts w:cstheme="majorBidi" w:eastAsiaTheme="majorEastAsia"/>
      <w:color w:val="272727" w:themeColor="text1" w:themeTint="0000D8"/>
    </w:rPr>
  </w:style>
  <w:style w:type="paragraph" w:styleId="Title">
    <w:name w:val="Title"/>
    <w:basedOn w:val="Normal"/>
    <w:next w:val="Normal"/>
    <w:link w:val="TitleChar"/>
    <w:uiPriority w:val="10"/>
    <w:qFormat w:val="1"/>
    <w:rsid w:val="00C84B20"/>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C84B20"/>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C84B20"/>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C84B20"/>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C84B20"/>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C84B20"/>
    <w:rPr>
      <w:i w:val="1"/>
      <w:iCs w:val="1"/>
      <w:color w:val="404040" w:themeColor="text1" w:themeTint="0000BF"/>
    </w:rPr>
  </w:style>
  <w:style w:type="paragraph" w:styleId="ListParagraph">
    <w:name w:val="List Paragraph"/>
    <w:basedOn w:val="Normal"/>
    <w:uiPriority w:val="34"/>
    <w:qFormat w:val="1"/>
    <w:rsid w:val="00C84B20"/>
    <w:pPr>
      <w:ind w:left="720"/>
      <w:contextualSpacing w:val="1"/>
    </w:pPr>
  </w:style>
  <w:style w:type="character" w:styleId="IntenseEmphasis">
    <w:name w:val="Intense Emphasis"/>
    <w:basedOn w:val="DefaultParagraphFont"/>
    <w:uiPriority w:val="21"/>
    <w:qFormat w:val="1"/>
    <w:rsid w:val="00C84B20"/>
    <w:rPr>
      <w:i w:val="1"/>
      <w:iCs w:val="1"/>
      <w:color w:val="0f4761" w:themeColor="accent1" w:themeShade="0000BF"/>
    </w:rPr>
  </w:style>
  <w:style w:type="paragraph" w:styleId="IntenseQuote">
    <w:name w:val="Intense Quote"/>
    <w:basedOn w:val="Normal"/>
    <w:next w:val="Normal"/>
    <w:link w:val="IntenseQuoteChar"/>
    <w:uiPriority w:val="30"/>
    <w:qFormat w:val="1"/>
    <w:rsid w:val="00C84B2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C84B20"/>
    <w:rPr>
      <w:i w:val="1"/>
      <w:iCs w:val="1"/>
      <w:color w:val="0f4761" w:themeColor="accent1" w:themeShade="0000BF"/>
    </w:rPr>
  </w:style>
  <w:style w:type="character" w:styleId="IntenseReference">
    <w:name w:val="Intense Reference"/>
    <w:basedOn w:val="DefaultParagraphFont"/>
    <w:uiPriority w:val="32"/>
    <w:qFormat w:val="1"/>
    <w:rsid w:val="00C84B20"/>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4.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fl3fGbElaVXLBdEKfMmvtYIDog==">CgMxLjA4AHIhMXBtR012RVVPSWozaWt2RUJVN0k0WVZ4SFZTR3lxRzQ5</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F506C495-7DC6-4604-B9D6-3DAF19EC9690}"/>
</file>

<file path=customXML/itemProps3.xml><?xml version="1.0" encoding="utf-8"?>
<ds:datastoreItem xmlns:ds="http://schemas.openxmlformats.org/officeDocument/2006/customXml" ds:itemID="{A094DB1C-C61A-4377-8D02-55DF027766A4}"/>
</file>

<file path=customXML/itemProps4.xml><?xml version="1.0" encoding="utf-8"?>
<ds:datastoreItem xmlns:ds="http://schemas.openxmlformats.org/officeDocument/2006/customXml" ds:itemID="{4AC9AE16-59BD-446E-B5B1-CA509760CCEC}"/>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Koh Kai Xuan</dc:creator>
  <dcterms:created xsi:type="dcterms:W3CDTF">2024-05-06T14:13:00Z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2abe5892-a9ee-4852-8adc-92ea5b8414cb</vt:lpwstr>
  </property>
  <property fmtid="{D5CDD505-2E9C-101B-9397-08002B2CF9AE}" pid="3" name="ContentTypeId">
    <vt:lpwstr>0x0101008CBEEE064259734EBC4DA888343C829E</vt:lpwstr>
  </property>
</Properties>
</file>